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EC" w:rsidRPr="005E489F" w:rsidRDefault="005E489F" w:rsidP="00C12EEC">
      <w:pPr>
        <w:jc w:val="center"/>
        <w:rPr>
          <w:rFonts w:ascii="Arial" w:hAnsi="Arial" w:cs="Arial"/>
          <w:color w:val="602C6C"/>
          <w:sz w:val="40"/>
          <w:szCs w:val="40"/>
          <w:lang w:val="en-CA"/>
        </w:rPr>
      </w:pPr>
      <w:bookmarkStart w:id="0" w:name="_GoBack"/>
      <w:r>
        <w:rPr>
          <w:rFonts w:ascii="Arial" w:hAnsi="Arial" w:cs="Arial"/>
          <w:b/>
          <w:bCs/>
          <w:noProof/>
          <w:color w:val="602C6C"/>
          <w:sz w:val="40"/>
          <w:szCs w:val="40"/>
          <w:lang w:eastAsia="fr-CA"/>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-438150</wp:posOffset>
                </wp:positionV>
                <wp:extent cx="7372350" cy="9172575"/>
                <wp:effectExtent l="38100" t="38100" r="57150" b="66675"/>
                <wp:wrapNone/>
                <wp:docPr id="1" name="Rectangle à coins arrondis 1"/>
                <wp:cNvGraphicFramePr/>
                <a:graphic xmlns:a="http://schemas.openxmlformats.org/drawingml/2006/main">
                  <a:graphicData uri="http://schemas.microsoft.com/office/word/2010/wordprocessingShape">
                    <wps:wsp>
                      <wps:cNvSpPr/>
                      <wps:spPr>
                        <a:xfrm>
                          <a:off x="0" y="0"/>
                          <a:ext cx="7372350" cy="9172575"/>
                        </a:xfrm>
                        <a:prstGeom prst="roundRect">
                          <a:avLst/>
                        </a:prstGeom>
                        <a:noFill/>
                        <a:ln w="101600" cmpd="tri">
                          <a:solidFill>
                            <a:srgbClr val="602C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 o:spid="_x0000_s1026" style="position:absolute;margin-left:-74.25pt;margin-top:-34.5pt;width:580.5pt;height:72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" filled="f" strokecolor="#602c6c" strokeweight="8pt">
                <v:stroke linestyle="thickBetweenThin"/>
              </v:roundrect>
            </w:pict>
          </mc:Fallback>
        </mc:AlternateContent>
      </w:r>
      <w:bookmarkEnd w:id="0"/>
      <w:r w:rsidRPr="005E489F">
        <w:rPr>
          <w:rFonts w:ascii="Arial" w:hAnsi="Arial" w:cs="Arial"/>
          <w:b/>
          <w:bCs/>
          <w:color w:val="602C6C"/>
          <w:sz w:val="40"/>
          <w:szCs w:val="40"/>
          <w:lang w:val="en-US"/>
        </w:rPr>
        <w:t>12</w:t>
      </w:r>
      <w:r w:rsidRPr="005E489F">
        <w:rPr>
          <w:rFonts w:ascii="Arial" w:hAnsi="Arial" w:cs="Arial"/>
          <w:b/>
          <w:bCs/>
          <w:color w:val="602C6C"/>
          <w:sz w:val="40"/>
          <w:szCs w:val="40"/>
          <w:vertAlign w:val="superscript"/>
          <w:lang w:val="en-US"/>
        </w:rPr>
        <w:t>th</w:t>
      </w:r>
      <w:r w:rsidRPr="005E489F">
        <w:rPr>
          <w:rFonts w:ascii="Arial" w:hAnsi="Arial" w:cs="Arial"/>
          <w:b/>
          <w:bCs/>
          <w:color w:val="602C6C"/>
          <w:sz w:val="40"/>
          <w:szCs w:val="40"/>
          <w:lang w:val="en-US"/>
        </w:rPr>
        <w:t xml:space="preserve"> session </w:t>
      </w:r>
      <w:proofErr w:type="spellStart"/>
      <w:r w:rsidR="00C12EEC" w:rsidRPr="005E489F">
        <w:rPr>
          <w:rFonts w:ascii="Arial" w:hAnsi="Arial" w:cs="Arial"/>
          <w:b/>
          <w:bCs/>
          <w:color w:val="602C6C"/>
          <w:sz w:val="40"/>
          <w:szCs w:val="40"/>
          <w:lang w:val="en-US"/>
        </w:rPr>
        <w:t>CoSP</w:t>
      </w:r>
      <w:proofErr w:type="spellEnd"/>
      <w:r w:rsidR="00C12EEC" w:rsidRPr="005E489F">
        <w:rPr>
          <w:rFonts w:ascii="Arial" w:hAnsi="Arial" w:cs="Arial"/>
          <w:b/>
          <w:bCs/>
          <w:color w:val="602C6C"/>
          <w:sz w:val="40"/>
          <w:szCs w:val="40"/>
          <w:lang w:val="en-US"/>
        </w:rPr>
        <w:t xml:space="preserve"> 2019</w:t>
      </w:r>
    </w:p>
    <w:p w:rsidR="00C12EEC" w:rsidRDefault="00C12EEC" w:rsidP="00C12EEC">
      <w:pPr>
        <w:jc w:val="center"/>
        <w:rPr>
          <w:rFonts w:ascii="Arial" w:hAnsi="Arial" w:cs="Arial"/>
          <w:b/>
          <w:bCs/>
          <w:sz w:val="24"/>
          <w:szCs w:val="24"/>
          <w:lang w:val="en-CA"/>
        </w:rPr>
      </w:pPr>
    </w:p>
    <w:p w:rsidR="00C12EEC" w:rsidRPr="005E489F" w:rsidRDefault="00C12EEC" w:rsidP="00C12EEC">
      <w:pPr>
        <w:jc w:val="center"/>
        <w:rPr>
          <w:rFonts w:ascii="Arial" w:hAnsi="Arial" w:cs="Arial"/>
          <w:b/>
          <w:bCs/>
          <w:color w:val="602C6C"/>
          <w:sz w:val="36"/>
          <w:szCs w:val="36"/>
          <w:lang w:val="en-CA"/>
        </w:rPr>
      </w:pPr>
      <w:r w:rsidRPr="005E489F">
        <w:rPr>
          <w:rFonts w:ascii="Arial" w:hAnsi="Arial" w:cs="Arial"/>
          <w:b/>
          <w:bCs/>
          <w:color w:val="602C6C"/>
          <w:sz w:val="36"/>
          <w:szCs w:val="36"/>
          <w:lang w:val="en-CA"/>
        </w:rPr>
        <w:t>June 10, 2019</w:t>
      </w:r>
    </w:p>
    <w:p w:rsidR="00C12EEC" w:rsidRPr="005E489F" w:rsidRDefault="00C12EEC" w:rsidP="00C12EEC">
      <w:pPr>
        <w:jc w:val="center"/>
        <w:rPr>
          <w:rFonts w:ascii="Arial" w:hAnsi="Arial" w:cs="Arial"/>
          <w:b/>
          <w:bCs/>
          <w:sz w:val="24"/>
          <w:szCs w:val="24"/>
          <w:lang w:val="en-CA"/>
        </w:rPr>
      </w:pPr>
      <w:r w:rsidRPr="005E489F">
        <w:rPr>
          <w:rFonts w:ascii="Arial" w:hAnsi="Arial" w:cs="Arial"/>
          <w:b/>
          <w:bCs/>
          <w:sz w:val="24"/>
          <w:szCs w:val="24"/>
          <w:lang w:val="en-CA"/>
        </w:rPr>
        <w:t>6:30 – 8:00 pm EST</w:t>
      </w:r>
    </w:p>
    <w:p w:rsidR="00C12EEC" w:rsidRPr="00C12EEC" w:rsidRDefault="00C12EEC" w:rsidP="00C12EEC">
      <w:pPr>
        <w:jc w:val="center"/>
        <w:rPr>
          <w:rFonts w:ascii="Arial" w:hAnsi="Arial" w:cs="Arial"/>
          <w:sz w:val="24"/>
          <w:szCs w:val="24"/>
          <w:lang w:val="en-CA"/>
        </w:rPr>
      </w:pPr>
      <w:r>
        <w:rPr>
          <w:rFonts w:ascii="Arial" w:hAnsi="Arial" w:cs="Arial"/>
          <w:b/>
          <w:bCs/>
          <w:sz w:val="24"/>
          <w:szCs w:val="24"/>
          <w:lang w:val="en-CA"/>
        </w:rPr>
        <w:t xml:space="preserve">CR.6, </w:t>
      </w:r>
      <w:r w:rsidRPr="00C12EEC">
        <w:rPr>
          <w:rFonts w:ascii="Arial" w:hAnsi="Arial" w:cs="Arial"/>
          <w:b/>
          <w:bCs/>
          <w:sz w:val="24"/>
          <w:szCs w:val="24"/>
          <w:lang w:val="en-CA"/>
        </w:rPr>
        <w:t>UN Headquarters New York</w:t>
      </w:r>
    </w:p>
    <w:p w:rsidR="00C12EEC" w:rsidRPr="00C12EEC" w:rsidRDefault="00C12EEC" w:rsidP="00C12EEC">
      <w:pPr>
        <w:jc w:val="center"/>
        <w:rPr>
          <w:rFonts w:ascii="Arial" w:hAnsi="Arial" w:cs="Arial"/>
          <w:sz w:val="36"/>
          <w:szCs w:val="36"/>
          <w:lang w:val="en-CA"/>
        </w:rPr>
      </w:pPr>
      <w:r w:rsidRPr="00C12EEC">
        <w:rPr>
          <w:rFonts w:ascii="Arial" w:hAnsi="Arial" w:cs="Arial"/>
          <w:b/>
          <w:bCs/>
          <w:sz w:val="36"/>
          <w:szCs w:val="36"/>
          <w:lang w:val="en-CA"/>
        </w:rPr>
        <w:t>Violence &amp; Abuse Against persons with disabilities</w:t>
      </w:r>
    </w:p>
    <w:p w:rsidR="00C12EEC" w:rsidRDefault="00C12EEC" w:rsidP="00C12EEC">
      <w:pPr>
        <w:jc w:val="center"/>
        <w:rPr>
          <w:rFonts w:ascii="Arial" w:hAnsi="Arial" w:cs="Arial"/>
          <w:b/>
          <w:bCs/>
          <w:sz w:val="24"/>
          <w:szCs w:val="24"/>
          <w:lang w:val="en-US"/>
        </w:rPr>
      </w:pPr>
      <w:r w:rsidRPr="00C12EEC">
        <w:rPr>
          <w:rFonts w:ascii="Arial" w:hAnsi="Arial" w:cs="Arial"/>
          <w:b/>
          <w:bCs/>
          <w:sz w:val="24"/>
          <w:szCs w:val="24"/>
          <w:lang w:val="en-CA"/>
        </w:rPr>
        <w:t>GANHRI</w:t>
      </w:r>
      <w:r>
        <w:rPr>
          <w:rFonts w:ascii="Arial" w:hAnsi="Arial" w:cs="Arial"/>
          <w:b/>
          <w:bCs/>
          <w:sz w:val="24"/>
          <w:szCs w:val="24"/>
          <w:lang w:val="en-CA"/>
        </w:rPr>
        <w:t xml:space="preserve">: </w:t>
      </w:r>
      <w:r w:rsidRPr="00C12EEC">
        <w:rPr>
          <w:rFonts w:ascii="Arial" w:hAnsi="Arial" w:cs="Arial"/>
          <w:b/>
          <w:bCs/>
          <w:sz w:val="24"/>
          <w:szCs w:val="24"/>
          <w:lang w:val="en-US"/>
        </w:rPr>
        <w:t>Global Alliance of National Human Rights Institutions</w:t>
      </w:r>
    </w:p>
    <w:p w:rsidR="00C12EEC" w:rsidRPr="00C12EEC" w:rsidRDefault="00C12EEC" w:rsidP="00C12EEC">
      <w:pPr>
        <w:jc w:val="center"/>
        <w:rPr>
          <w:rFonts w:ascii="Arial" w:hAnsi="Arial" w:cs="Arial"/>
          <w:sz w:val="20"/>
          <w:szCs w:val="20"/>
          <w:lang w:val="en-CA"/>
        </w:rPr>
      </w:pPr>
      <w:r w:rsidRPr="00C12EEC">
        <w:rPr>
          <w:rFonts w:ascii="Arial" w:hAnsi="Arial" w:cs="Arial"/>
          <w:color w:val="283842"/>
          <w:sz w:val="20"/>
          <w:szCs w:val="20"/>
          <w:shd w:val="clear" w:color="auto" w:fill="FFFFFF"/>
          <w:lang w:val="en-CA"/>
        </w:rPr>
        <w:t>This session seeks to increase the visibility of disabled people ensuring that their voices and concerns are heard. Responding to the multifaceted and intersectional nature of discrimination experienced by disabled women and girls will be a focus</w:t>
      </w:r>
    </w:p>
    <w:p w:rsidR="00CC160E" w:rsidRDefault="00CC160E" w:rsidP="00C12EEC">
      <w:pPr>
        <w:jc w:val="center"/>
        <w:rPr>
          <w:rFonts w:ascii="Arial" w:hAnsi="Arial" w:cs="Arial"/>
          <w:sz w:val="24"/>
          <w:szCs w:val="24"/>
          <w:lang w:val="en-CA"/>
        </w:rPr>
      </w:pPr>
    </w:p>
    <w:p w:rsidR="005E489F" w:rsidRDefault="005E489F" w:rsidP="00C12EEC">
      <w:pPr>
        <w:jc w:val="center"/>
        <w:rPr>
          <w:rFonts w:ascii="Arial" w:hAnsi="Arial" w:cs="Arial"/>
          <w:sz w:val="24"/>
          <w:szCs w:val="24"/>
          <w:lang w:val="en-CA"/>
        </w:rPr>
      </w:pPr>
    </w:p>
    <w:p w:rsidR="00C12EEC" w:rsidRPr="005E489F" w:rsidRDefault="00C12EEC" w:rsidP="00C12EEC">
      <w:pPr>
        <w:jc w:val="center"/>
        <w:rPr>
          <w:rFonts w:ascii="Arial" w:hAnsi="Arial" w:cs="Arial"/>
          <w:b/>
          <w:bCs/>
          <w:color w:val="602C6C"/>
          <w:sz w:val="36"/>
          <w:szCs w:val="36"/>
          <w:lang w:val="en-US"/>
        </w:rPr>
      </w:pPr>
      <w:r w:rsidRPr="005E489F">
        <w:rPr>
          <w:rFonts w:ascii="Arial" w:hAnsi="Arial" w:cs="Arial"/>
          <w:b/>
          <w:bCs/>
          <w:color w:val="602C6C"/>
          <w:sz w:val="36"/>
          <w:szCs w:val="36"/>
          <w:lang w:val="en-US"/>
        </w:rPr>
        <w:t>June 12, 2019</w:t>
      </w:r>
    </w:p>
    <w:p w:rsidR="005E489F" w:rsidRPr="005E489F" w:rsidRDefault="005E489F" w:rsidP="00C12EEC">
      <w:pPr>
        <w:jc w:val="center"/>
        <w:rPr>
          <w:rFonts w:ascii="Arial" w:hAnsi="Arial" w:cs="Arial"/>
          <w:b/>
          <w:bCs/>
          <w:sz w:val="24"/>
          <w:szCs w:val="24"/>
          <w:lang w:val="en-CA"/>
        </w:rPr>
      </w:pPr>
      <w:r w:rsidRPr="005E489F">
        <w:rPr>
          <w:rFonts w:ascii="Arial" w:hAnsi="Arial" w:cs="Arial"/>
          <w:b/>
          <w:bCs/>
          <w:sz w:val="24"/>
          <w:szCs w:val="24"/>
          <w:lang w:val="en-CA"/>
        </w:rPr>
        <w:t>11:30 am – 12:45 pm</w:t>
      </w:r>
    </w:p>
    <w:p w:rsidR="00C12EEC" w:rsidRPr="00C12EEC" w:rsidRDefault="005E489F" w:rsidP="00C12EEC">
      <w:pPr>
        <w:jc w:val="center"/>
        <w:rPr>
          <w:rFonts w:ascii="Arial" w:hAnsi="Arial" w:cs="Arial"/>
          <w:sz w:val="24"/>
          <w:szCs w:val="24"/>
          <w:lang w:val="en-CA"/>
        </w:rPr>
      </w:pPr>
      <w:r>
        <w:rPr>
          <w:rFonts w:ascii="Arial" w:hAnsi="Arial" w:cs="Arial"/>
          <w:b/>
          <w:bCs/>
          <w:sz w:val="24"/>
          <w:szCs w:val="24"/>
          <w:lang w:val="en-US"/>
        </w:rPr>
        <w:t xml:space="preserve">CR 12, </w:t>
      </w:r>
      <w:r w:rsidR="00C12EEC" w:rsidRPr="00C12EEC">
        <w:rPr>
          <w:rFonts w:ascii="Arial" w:hAnsi="Arial" w:cs="Arial"/>
          <w:b/>
          <w:bCs/>
          <w:sz w:val="24"/>
          <w:szCs w:val="24"/>
          <w:lang w:val="en-US"/>
        </w:rPr>
        <w:t>United Nations, New York</w:t>
      </w:r>
    </w:p>
    <w:p w:rsidR="00C12EEC" w:rsidRPr="00C12EEC" w:rsidRDefault="00C12EEC" w:rsidP="00C12EEC">
      <w:pPr>
        <w:jc w:val="center"/>
        <w:rPr>
          <w:rFonts w:ascii="Arial" w:hAnsi="Arial" w:cs="Arial"/>
          <w:sz w:val="36"/>
          <w:szCs w:val="36"/>
          <w:lang w:val="en-CA"/>
        </w:rPr>
      </w:pPr>
      <w:r w:rsidRPr="00C12EEC">
        <w:rPr>
          <w:rFonts w:ascii="Arial" w:hAnsi="Arial" w:cs="Arial"/>
          <w:b/>
          <w:bCs/>
          <w:sz w:val="36"/>
          <w:szCs w:val="36"/>
          <w:lang w:val="en-CA"/>
        </w:rPr>
        <w:t>Ticking a box, or building a movement?</w:t>
      </w:r>
    </w:p>
    <w:p w:rsidR="00C12EEC" w:rsidRPr="00C12EEC" w:rsidRDefault="00C12EEC" w:rsidP="00C12EEC">
      <w:pPr>
        <w:jc w:val="center"/>
        <w:rPr>
          <w:rFonts w:ascii="Arial" w:hAnsi="Arial" w:cs="Arial"/>
          <w:sz w:val="36"/>
          <w:szCs w:val="36"/>
          <w:lang w:val="en-CA"/>
        </w:rPr>
      </w:pPr>
      <w:r w:rsidRPr="00C12EEC">
        <w:rPr>
          <w:rFonts w:ascii="Arial" w:hAnsi="Arial" w:cs="Arial"/>
          <w:b/>
          <w:bCs/>
          <w:sz w:val="36"/>
          <w:szCs w:val="36"/>
          <w:lang w:val="en-US"/>
        </w:rPr>
        <w:t>Intersectional Barriers &amp; Challenges</w:t>
      </w:r>
    </w:p>
    <w:p w:rsidR="00C12EEC" w:rsidRPr="00C12EEC" w:rsidRDefault="00C12EEC" w:rsidP="00C12EEC">
      <w:pPr>
        <w:jc w:val="center"/>
        <w:rPr>
          <w:rFonts w:ascii="Arial" w:hAnsi="Arial" w:cs="Arial"/>
          <w:sz w:val="36"/>
          <w:szCs w:val="36"/>
          <w:lang w:val="en-CA"/>
        </w:rPr>
      </w:pPr>
      <w:proofErr w:type="gramStart"/>
      <w:r w:rsidRPr="00C12EEC">
        <w:rPr>
          <w:rFonts w:ascii="Arial" w:hAnsi="Arial" w:cs="Arial"/>
          <w:b/>
          <w:bCs/>
          <w:sz w:val="36"/>
          <w:szCs w:val="36"/>
          <w:lang w:val="en-US"/>
        </w:rPr>
        <w:t>for</w:t>
      </w:r>
      <w:proofErr w:type="gramEnd"/>
      <w:r w:rsidRPr="00C12EEC">
        <w:rPr>
          <w:rFonts w:ascii="Arial" w:hAnsi="Arial" w:cs="Arial"/>
          <w:b/>
          <w:bCs/>
          <w:sz w:val="36"/>
          <w:szCs w:val="36"/>
          <w:lang w:val="en-US"/>
        </w:rPr>
        <w:t xml:space="preserve"> People with disabilities</w:t>
      </w:r>
    </w:p>
    <w:p w:rsidR="00C12EEC" w:rsidRDefault="005E489F" w:rsidP="00C12EEC">
      <w:pPr>
        <w:jc w:val="center"/>
        <w:rPr>
          <w:rFonts w:ascii="Arial" w:hAnsi="Arial" w:cs="Arial"/>
          <w:b/>
          <w:bCs/>
          <w:sz w:val="24"/>
          <w:szCs w:val="24"/>
          <w:lang w:val="en-CA"/>
        </w:rPr>
      </w:pPr>
      <w:r w:rsidRPr="005E489F">
        <w:rPr>
          <w:rFonts w:ascii="Arial" w:hAnsi="Arial" w:cs="Arial"/>
          <w:b/>
          <w:bCs/>
          <w:sz w:val="24"/>
          <w:szCs w:val="24"/>
          <w:lang w:val="en-CA"/>
        </w:rPr>
        <w:t>Permanent Mission</w:t>
      </w:r>
      <w:r>
        <w:rPr>
          <w:rFonts w:ascii="Arial" w:hAnsi="Arial" w:cs="Arial"/>
          <w:b/>
          <w:bCs/>
          <w:sz w:val="24"/>
          <w:szCs w:val="24"/>
          <w:lang w:val="en-CA"/>
        </w:rPr>
        <w:t>s</w:t>
      </w:r>
      <w:r w:rsidRPr="005E489F">
        <w:rPr>
          <w:rFonts w:ascii="Arial" w:hAnsi="Arial" w:cs="Arial"/>
          <w:b/>
          <w:bCs/>
          <w:sz w:val="24"/>
          <w:szCs w:val="24"/>
          <w:lang w:val="en-CA"/>
        </w:rPr>
        <w:t xml:space="preserve"> of Canada</w:t>
      </w:r>
    </w:p>
    <w:p w:rsidR="005E489F" w:rsidRPr="005E489F" w:rsidRDefault="005E489F" w:rsidP="00C12EEC">
      <w:pPr>
        <w:jc w:val="center"/>
        <w:rPr>
          <w:rFonts w:ascii="Arial" w:hAnsi="Arial" w:cs="Arial"/>
          <w:b/>
          <w:bCs/>
          <w:sz w:val="24"/>
          <w:szCs w:val="24"/>
          <w:lang w:val="en-CA"/>
        </w:rPr>
      </w:pPr>
      <w:r w:rsidRPr="005E489F">
        <w:rPr>
          <w:rFonts w:ascii="Arial" w:hAnsi="Arial" w:cs="Arial"/>
          <w:color w:val="283842"/>
          <w:sz w:val="20"/>
          <w:szCs w:val="20"/>
          <w:shd w:val="clear" w:color="auto" w:fill="FFFFFF"/>
          <w:lang w:val="en-CA"/>
        </w:rPr>
        <w:t>In research and data analysis, the use of an intersectional lens reveals significant findings for persons with disabilities. An intersectional perspective can help to identify vulnerable subgroups, such as Indigenous women or children and youth with disabilities, and to understand the barriers facing persons with disabilities. However, there are a number of challenges for the practical application of intersectionality, especially in the areas of policy, programs and services relating to persons with disabilities</w:t>
      </w:r>
    </w:p>
    <w:sectPr w:rsidR="005E489F" w:rsidRPr="005E489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EC"/>
    <w:rsid w:val="005E489F"/>
    <w:rsid w:val="00C12EEC"/>
    <w:rsid w:val="00CC16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6063">
      <w:bodyDiv w:val="1"/>
      <w:marLeft w:val="0"/>
      <w:marRight w:val="0"/>
      <w:marTop w:val="0"/>
      <w:marBottom w:val="0"/>
      <w:divBdr>
        <w:top w:val="none" w:sz="0" w:space="0" w:color="auto"/>
        <w:left w:val="none" w:sz="0" w:space="0" w:color="auto"/>
        <w:bottom w:val="none" w:sz="0" w:space="0" w:color="auto"/>
        <w:right w:val="none" w:sz="0" w:space="0" w:color="auto"/>
      </w:divBdr>
    </w:div>
    <w:div w:id="33222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179</Words>
  <Characters>990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2019-06-10T15:28:00Z</dcterms:created>
  <dcterms:modified xsi:type="dcterms:W3CDTF">2019-06-10T15:46:00Z</dcterms:modified>
</cp:coreProperties>
</file>