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A3" w:rsidRDefault="00E16BA3" w:rsidP="00D209BF">
      <w:pPr>
        <w:pStyle w:val="BasicParagraph"/>
        <w:spacing w:line="240" w:lineRule="auto"/>
        <w:jc w:val="both"/>
        <w:rPr>
          <w:rFonts w:ascii="Arial" w:eastAsiaTheme="minorHAnsi" w:hAnsi="Arial" w:cstheme="minorBidi"/>
          <w:b/>
          <w:color w:val="385623" w:themeColor="accent6" w:themeShade="80"/>
          <w:sz w:val="28"/>
          <w:szCs w:val="28"/>
          <w:lang w:val="fr-CA"/>
        </w:rPr>
      </w:pPr>
    </w:p>
    <w:p w:rsidR="00630300" w:rsidRPr="00D210F1" w:rsidRDefault="00F40E80" w:rsidP="00D209BF">
      <w:pPr>
        <w:pStyle w:val="BasicParagraph"/>
        <w:spacing w:line="240" w:lineRule="auto"/>
        <w:jc w:val="both"/>
        <w:rPr>
          <w:rFonts w:ascii="Arial" w:eastAsiaTheme="minorHAnsi" w:hAnsi="Arial" w:cstheme="minorBidi"/>
          <w:b/>
          <w:color w:val="385623" w:themeColor="accent6" w:themeShade="80"/>
          <w:sz w:val="28"/>
          <w:szCs w:val="28"/>
          <w:lang w:val="fr-CA"/>
        </w:rPr>
      </w:pPr>
      <w:r w:rsidRPr="00F40E80">
        <w:rPr>
          <w:rFonts w:ascii="Arial" w:eastAsiaTheme="minorHAnsi" w:hAnsi="Arial" w:cstheme="minorBidi"/>
          <w:b/>
          <w:color w:val="385623" w:themeColor="accent6" w:themeShade="80"/>
          <w:sz w:val="28"/>
          <w:szCs w:val="28"/>
          <w:lang w:val="fr-CA"/>
        </w:rPr>
        <w:t>Fiche de fait</w:t>
      </w:r>
      <w:r w:rsidR="00AD6E46">
        <w:rPr>
          <w:rFonts w:ascii="Arial" w:eastAsiaTheme="minorHAnsi" w:hAnsi="Arial" w:cstheme="minorBidi"/>
          <w:b/>
          <w:color w:val="385623" w:themeColor="accent6" w:themeShade="80"/>
          <w:sz w:val="28"/>
          <w:szCs w:val="28"/>
          <w:lang w:val="fr-CA"/>
        </w:rPr>
        <w:t>s</w:t>
      </w:r>
      <w:r w:rsidRPr="00F40E80">
        <w:rPr>
          <w:rFonts w:ascii="Arial" w:eastAsiaTheme="minorHAnsi" w:hAnsi="Arial" w:cstheme="minorBidi"/>
          <w:b/>
          <w:color w:val="385623" w:themeColor="accent6" w:themeShade="80"/>
          <w:sz w:val="28"/>
          <w:szCs w:val="28"/>
          <w:lang w:val="fr-CA"/>
        </w:rPr>
        <w:t> : les mères et le handicap</w:t>
      </w:r>
    </w:p>
    <w:p w:rsidR="00584A19" w:rsidRPr="00D210F1" w:rsidRDefault="00630300" w:rsidP="00D209BF">
      <w:pPr>
        <w:pStyle w:val="BasicParagraph"/>
        <w:spacing w:line="240" w:lineRule="auto"/>
        <w:jc w:val="both"/>
        <w:rPr>
          <w:rFonts w:ascii="Arial" w:hAnsi="Arial" w:cs="Arial"/>
          <w:b/>
          <w:caps/>
          <w:color w:val="003300"/>
          <w:sz w:val="28"/>
          <w:szCs w:val="28"/>
          <w:lang w:val="fr-CA"/>
        </w:rPr>
      </w:pPr>
      <w:r>
        <w:rPr>
          <w:b/>
          <w:noProof/>
          <w:sz w:val="28"/>
          <w:szCs w:val="28"/>
        </w:rPr>
        <mc:AlternateContent>
          <mc:Choice Requires="wps">
            <w:drawing>
              <wp:anchor distT="0" distB="0" distL="114300" distR="114300" simplePos="0" relativeHeight="251674624" behindDoc="0" locked="0" layoutInCell="1" allowOverlap="1" wp14:anchorId="41E9EFBC" wp14:editId="469ED551">
                <wp:simplePos x="0" y="0"/>
                <wp:positionH relativeFrom="column">
                  <wp:posOffset>1092200</wp:posOffset>
                </wp:positionH>
                <wp:positionV relativeFrom="paragraph">
                  <wp:posOffset>127635</wp:posOffset>
                </wp:positionV>
                <wp:extent cx="5890895" cy="101600"/>
                <wp:effectExtent l="0" t="0" r="14605" b="12700"/>
                <wp:wrapNone/>
                <wp:docPr id="9" name="Rounded Rectangle 9"/>
                <wp:cNvGraphicFramePr/>
                <a:graphic xmlns:a="http://schemas.openxmlformats.org/drawingml/2006/main">
                  <a:graphicData uri="http://schemas.microsoft.com/office/word/2010/wordprocessingShape">
                    <wps:wsp>
                      <wps:cNvSpPr/>
                      <wps:spPr>
                        <a:xfrm>
                          <a:off x="0" y="0"/>
                          <a:ext cx="5890895" cy="101600"/>
                        </a:xfrm>
                        <a:prstGeom prst="roundRect">
                          <a:avLst>
                            <a:gd name="adj" fmla="val 50000"/>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D84FE65" id="Rounded Rectangle 9" o:spid="_x0000_s1026" style="position:absolute;margin-left:86pt;margin-top:10.05pt;width:463.85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" fillcolor="#375623 [1609]" strokecolor="#1f4d78 [1604]" strokeweight="1pt">
                <v:stroke joinstyle="miter"/>
              </v:roundrect>
            </w:pict>
          </mc:Fallback>
        </mc:AlternateContent>
      </w:r>
    </w:p>
    <w:p w:rsidR="006747E2" w:rsidRPr="00D210F1" w:rsidRDefault="006747E2" w:rsidP="00D209BF">
      <w:pPr>
        <w:pStyle w:val="BasicParagraph"/>
        <w:spacing w:line="240" w:lineRule="auto"/>
        <w:jc w:val="both"/>
        <w:rPr>
          <w:rFonts w:ascii="Arial" w:hAnsi="Arial" w:cs="Arial"/>
          <w:b/>
          <w:caps/>
          <w:color w:val="003300"/>
          <w:sz w:val="28"/>
          <w:szCs w:val="28"/>
          <w:lang w:val="fr-CA"/>
        </w:rPr>
      </w:pPr>
    </w:p>
    <w:p w:rsidR="006747E2" w:rsidRPr="00D210F1" w:rsidRDefault="006747E2" w:rsidP="00D209BF">
      <w:pPr>
        <w:pStyle w:val="BasicParagraph"/>
        <w:spacing w:line="240" w:lineRule="auto"/>
        <w:jc w:val="both"/>
        <w:rPr>
          <w:rFonts w:ascii="Arial" w:hAnsi="Arial" w:cs="Arial"/>
          <w:b/>
          <w:caps/>
          <w:color w:val="003300"/>
          <w:sz w:val="28"/>
          <w:szCs w:val="28"/>
          <w:lang w:val="fr-CA"/>
        </w:rPr>
      </w:pPr>
    </w:p>
    <w:p w:rsidR="00F40E80" w:rsidRPr="00F40E80" w:rsidRDefault="00F40E80" w:rsidP="00D209BF">
      <w:pPr>
        <w:jc w:val="both"/>
        <w:rPr>
          <w:rFonts w:cs="Arial"/>
          <w:color w:val="221E1F"/>
          <w:sz w:val="26"/>
          <w:szCs w:val="26"/>
          <w:lang w:val="fr-CA"/>
        </w:rPr>
      </w:pPr>
      <w:r w:rsidRPr="00F40E80">
        <w:rPr>
          <w:rFonts w:cs="Arial"/>
          <w:color w:val="221E1F"/>
          <w:sz w:val="26"/>
          <w:szCs w:val="26"/>
          <w:lang w:val="fr-CA"/>
        </w:rPr>
        <w:t>Les mères représentent la majorité des parents qui ont la garde des enfants au Canada. Elles expérimentent l’insécurité économique basée sur les défis auxquels elles doivent faire face, incluant le maintien d’un travail payant parallèlement à la garde de leurs enfants ainsi que les difficultés de trouver un service de garde abordable.</w:t>
      </w:r>
    </w:p>
    <w:p w:rsidR="00F40E80" w:rsidRPr="00F40E80" w:rsidRDefault="00F40E80" w:rsidP="00D209BF">
      <w:pPr>
        <w:jc w:val="both"/>
        <w:rPr>
          <w:rFonts w:cs="Arial"/>
          <w:color w:val="221E1F"/>
          <w:sz w:val="26"/>
          <w:szCs w:val="26"/>
          <w:lang w:val="fr-CA"/>
        </w:rPr>
      </w:pPr>
    </w:p>
    <w:p w:rsidR="00F40E80" w:rsidRPr="00F40E80" w:rsidRDefault="00F40E80" w:rsidP="00D209BF">
      <w:pPr>
        <w:jc w:val="both"/>
        <w:rPr>
          <w:rFonts w:cs="Arial"/>
          <w:color w:val="221E1F"/>
          <w:sz w:val="26"/>
          <w:szCs w:val="26"/>
          <w:lang w:val="fr-CA"/>
        </w:rPr>
      </w:pPr>
      <w:r w:rsidRPr="00F40E80">
        <w:rPr>
          <w:rFonts w:cs="Arial"/>
          <w:color w:val="221E1F"/>
          <w:sz w:val="26"/>
          <w:szCs w:val="26"/>
          <w:lang w:val="fr-CA"/>
        </w:rPr>
        <w:t>Ces défis exaspèrent les mères célibataires vivant en situation de handicap. Un tiers des femmes vivant en situation de handicap vivent en-deçà du seuil de pauvreté et jusqu’à 75% sont sans emploi.</w:t>
      </w:r>
    </w:p>
    <w:p w:rsidR="00F40E80" w:rsidRPr="00F40E80" w:rsidRDefault="00F40E80" w:rsidP="00D209BF">
      <w:pPr>
        <w:jc w:val="both"/>
        <w:rPr>
          <w:rFonts w:cs="Arial"/>
          <w:color w:val="221E1F"/>
          <w:sz w:val="26"/>
          <w:szCs w:val="26"/>
          <w:lang w:val="fr-CA"/>
        </w:rPr>
      </w:pPr>
    </w:p>
    <w:p w:rsidR="00F40E80" w:rsidRPr="00F40E80" w:rsidRDefault="00F40E80" w:rsidP="00D209BF">
      <w:pPr>
        <w:jc w:val="both"/>
        <w:rPr>
          <w:rFonts w:cs="Arial"/>
          <w:sz w:val="26"/>
          <w:szCs w:val="26"/>
          <w:lang w:val="fr-CA"/>
        </w:rPr>
      </w:pPr>
      <w:r w:rsidRPr="00F40E80">
        <w:rPr>
          <w:rFonts w:cs="Arial"/>
          <w:sz w:val="26"/>
          <w:szCs w:val="26"/>
          <w:lang w:val="fr-CA"/>
        </w:rPr>
        <w:t>Les recherches canadiennes ont trouvé que les mères qui ont un diagnostic de santé mentale étaient trois fois plus concernées par le système de protection des enfants que leurs homologues sans diagnostic.</w:t>
      </w:r>
    </w:p>
    <w:p w:rsidR="00F40E80" w:rsidRPr="00F40E80" w:rsidRDefault="00F40E80" w:rsidP="00D209BF">
      <w:pPr>
        <w:jc w:val="both"/>
        <w:rPr>
          <w:rFonts w:cs="Arial"/>
          <w:sz w:val="26"/>
          <w:szCs w:val="26"/>
          <w:lang w:val="fr-CA"/>
        </w:rPr>
      </w:pPr>
    </w:p>
    <w:p w:rsidR="00F40E80" w:rsidRPr="00F40E80" w:rsidRDefault="00F40E80" w:rsidP="00D209BF">
      <w:pPr>
        <w:pStyle w:val="ListParagraph"/>
        <w:numPr>
          <w:ilvl w:val="0"/>
          <w:numId w:val="3"/>
        </w:numPr>
        <w:spacing w:after="0" w:line="240" w:lineRule="auto"/>
        <w:jc w:val="both"/>
        <w:rPr>
          <w:rFonts w:cs="Arial"/>
          <w:sz w:val="26"/>
          <w:szCs w:val="26"/>
          <w:lang w:val="fr-CA"/>
        </w:rPr>
      </w:pPr>
      <w:r w:rsidRPr="00F40E80">
        <w:rPr>
          <w:rFonts w:cs="Arial"/>
          <w:sz w:val="26"/>
          <w:szCs w:val="26"/>
          <w:lang w:val="fr-CA"/>
        </w:rPr>
        <w:t>Les mères avec un éventail de déficits rapportent que les professionnels de la santé leur suggèrent de mettre fin immédiatement au fœtus dès qu’ils les informent de leurs grossesses.</w:t>
      </w:r>
    </w:p>
    <w:p w:rsidR="00F40E80" w:rsidRPr="00F40E80" w:rsidRDefault="00F40E80" w:rsidP="00D209BF">
      <w:pPr>
        <w:pStyle w:val="ListParagraph"/>
        <w:jc w:val="both"/>
        <w:rPr>
          <w:rFonts w:cs="Arial"/>
          <w:sz w:val="26"/>
          <w:szCs w:val="26"/>
          <w:lang w:val="fr-CA"/>
        </w:rPr>
      </w:pPr>
    </w:p>
    <w:p w:rsidR="00F40E80" w:rsidRPr="00F40E80" w:rsidRDefault="00F40E80" w:rsidP="00D209BF">
      <w:pPr>
        <w:pStyle w:val="ListParagraph"/>
        <w:numPr>
          <w:ilvl w:val="0"/>
          <w:numId w:val="3"/>
        </w:numPr>
        <w:spacing w:after="0" w:line="240" w:lineRule="auto"/>
        <w:jc w:val="both"/>
        <w:rPr>
          <w:rFonts w:cs="Arial"/>
          <w:sz w:val="26"/>
          <w:szCs w:val="26"/>
          <w:lang w:val="fr-CA"/>
        </w:rPr>
      </w:pPr>
      <w:r w:rsidRPr="00F40E80">
        <w:rPr>
          <w:rFonts w:cs="Arial"/>
          <w:sz w:val="26"/>
          <w:szCs w:val="26"/>
          <w:lang w:val="fr-CA"/>
        </w:rPr>
        <w:t>Les mères vivant en situation de handicap vivent la menace de la perte de leurs enfants, les obstacles à l’adoption, le fait de ramener les enfants à la maison, et le fait de maintenir la garde des enfants après une séparation ou un divorce.</w:t>
      </w:r>
    </w:p>
    <w:p w:rsidR="00F40E80" w:rsidRPr="00F40E80" w:rsidRDefault="00F40E80" w:rsidP="00D209BF">
      <w:pPr>
        <w:jc w:val="both"/>
        <w:rPr>
          <w:rFonts w:cs="Arial"/>
          <w:sz w:val="26"/>
          <w:szCs w:val="26"/>
          <w:lang w:val="fr-CA"/>
        </w:rPr>
      </w:pPr>
    </w:p>
    <w:p w:rsidR="00F40E80" w:rsidRPr="00F40E80" w:rsidRDefault="00F40E80" w:rsidP="00D209BF">
      <w:pPr>
        <w:pStyle w:val="ListParagraph"/>
        <w:numPr>
          <w:ilvl w:val="0"/>
          <w:numId w:val="3"/>
        </w:numPr>
        <w:spacing w:after="0" w:line="240" w:lineRule="auto"/>
        <w:jc w:val="both"/>
        <w:rPr>
          <w:rFonts w:cs="Arial"/>
          <w:sz w:val="26"/>
          <w:szCs w:val="26"/>
          <w:lang w:val="fr-CA"/>
        </w:rPr>
      </w:pPr>
      <w:r w:rsidRPr="00F40E80">
        <w:rPr>
          <w:rFonts w:cs="Arial"/>
          <w:sz w:val="26"/>
          <w:szCs w:val="26"/>
          <w:lang w:val="fr-CA"/>
        </w:rPr>
        <w:t>Tandis qu’il existe des programmes d’aide parentale, les mères canadiennes vivant en situation de handicap rapportent que l’accès est limité dû aux longues listes d’attentes, aux fonds inappropriés et aux durées des services limitées.</w:t>
      </w:r>
    </w:p>
    <w:p w:rsidR="00F40E80" w:rsidRPr="00F40E80" w:rsidRDefault="00F40E80" w:rsidP="00D209BF">
      <w:pPr>
        <w:jc w:val="both"/>
        <w:rPr>
          <w:rFonts w:cs="Arial"/>
          <w:sz w:val="26"/>
          <w:szCs w:val="26"/>
          <w:lang w:val="fr-CA"/>
        </w:rPr>
      </w:pPr>
    </w:p>
    <w:p w:rsidR="00F40E80" w:rsidRPr="00F40E80" w:rsidRDefault="00F40E80" w:rsidP="00D209BF">
      <w:pPr>
        <w:pStyle w:val="ListParagraph"/>
        <w:numPr>
          <w:ilvl w:val="0"/>
          <w:numId w:val="3"/>
        </w:numPr>
        <w:spacing w:after="0" w:line="240" w:lineRule="auto"/>
        <w:jc w:val="both"/>
        <w:rPr>
          <w:rFonts w:cs="Arial"/>
          <w:sz w:val="26"/>
          <w:szCs w:val="26"/>
          <w:lang w:val="fr-CA"/>
        </w:rPr>
      </w:pPr>
      <w:r w:rsidRPr="00F40E80">
        <w:rPr>
          <w:rFonts w:cs="Arial"/>
          <w:sz w:val="26"/>
          <w:szCs w:val="26"/>
          <w:lang w:val="fr-CA"/>
        </w:rPr>
        <w:t xml:space="preserve">Comme conséquence à ces défis, plusieurs mères vivant en situation de handicap rapportent qu’elles agissent sans aucune aide domestique, ou </w:t>
      </w:r>
      <w:r w:rsidRPr="00F40E80">
        <w:rPr>
          <w:rFonts w:cs="Arial"/>
          <w:sz w:val="26"/>
          <w:szCs w:val="26"/>
          <w:lang w:val="fr-CA"/>
        </w:rPr>
        <w:lastRenderedPageBreak/>
        <w:t>sont forcées de s’appuyer sur les aides informelles, comme la famille et les amis.</w:t>
      </w:r>
    </w:p>
    <w:p w:rsidR="003A517E" w:rsidRDefault="003A517E" w:rsidP="00D209BF">
      <w:pPr>
        <w:pStyle w:val="BasicParagraph"/>
        <w:spacing w:line="240" w:lineRule="auto"/>
        <w:jc w:val="both"/>
        <w:rPr>
          <w:rFonts w:ascii="Arial" w:hAnsi="Arial" w:cs="Arial"/>
          <w:b/>
          <w:sz w:val="26"/>
          <w:szCs w:val="26"/>
          <w:lang w:val="fr-CA"/>
        </w:rPr>
      </w:pPr>
    </w:p>
    <w:p w:rsidR="003A517E" w:rsidRDefault="003A517E" w:rsidP="00D209BF">
      <w:pPr>
        <w:tabs>
          <w:tab w:val="left" w:pos="1044"/>
        </w:tabs>
        <w:jc w:val="both"/>
        <w:rPr>
          <w:lang w:val="fr-CA"/>
        </w:rPr>
      </w:pPr>
    </w:p>
    <w:p w:rsidR="003A517E" w:rsidRPr="004A670D" w:rsidRDefault="003A517E" w:rsidP="00D209BF">
      <w:pPr>
        <w:widowControl w:val="0"/>
        <w:autoSpaceDE w:val="0"/>
        <w:autoSpaceDN w:val="0"/>
        <w:adjustRightInd w:val="0"/>
        <w:spacing w:after="0" w:line="240" w:lineRule="auto"/>
        <w:jc w:val="both"/>
        <w:rPr>
          <w:rFonts w:ascii="Georgia" w:hAnsi="Georgia" w:cs="Georgia"/>
          <w:b/>
          <w:color w:val="262626"/>
          <w:sz w:val="26"/>
          <w:szCs w:val="26"/>
        </w:rPr>
      </w:pPr>
      <w:proofErr w:type="spellStart"/>
      <w:r>
        <w:rPr>
          <w:rFonts w:ascii="Georgia" w:hAnsi="Georgia" w:cs="Georgia"/>
          <w:b/>
          <w:color w:val="262626"/>
          <w:sz w:val="26"/>
          <w:szCs w:val="26"/>
        </w:rPr>
        <w:t>Référenc</w:t>
      </w:r>
      <w:r w:rsidRPr="004A670D">
        <w:rPr>
          <w:rFonts w:ascii="Georgia" w:hAnsi="Georgia" w:cs="Georgia"/>
          <w:b/>
          <w:color w:val="262626"/>
          <w:sz w:val="26"/>
          <w:szCs w:val="26"/>
        </w:rPr>
        <w:t>es</w:t>
      </w:r>
      <w:proofErr w:type="spellEnd"/>
      <w:r w:rsidRPr="004A670D">
        <w:rPr>
          <w:rFonts w:ascii="Georgia" w:hAnsi="Georgia" w:cs="Georgia"/>
          <w:b/>
          <w:color w:val="262626"/>
          <w:sz w:val="26"/>
          <w:szCs w:val="26"/>
        </w:rPr>
        <w:t>:</w:t>
      </w:r>
      <w:bookmarkStart w:id="0" w:name="_GoBack"/>
      <w:bookmarkEnd w:id="0"/>
    </w:p>
    <w:p w:rsidR="003A517E" w:rsidRDefault="003A517E" w:rsidP="00D209BF">
      <w:pPr>
        <w:widowControl w:val="0"/>
        <w:autoSpaceDE w:val="0"/>
        <w:autoSpaceDN w:val="0"/>
        <w:adjustRightInd w:val="0"/>
        <w:spacing w:after="0" w:line="240" w:lineRule="auto"/>
        <w:jc w:val="both"/>
        <w:rPr>
          <w:rFonts w:ascii="Georgia" w:hAnsi="Georgia" w:cs="Georgia"/>
          <w:color w:val="262626"/>
          <w:sz w:val="26"/>
          <w:szCs w:val="26"/>
        </w:rPr>
      </w:pPr>
    </w:p>
    <w:p w:rsidR="00D209BF" w:rsidRPr="004A5950" w:rsidRDefault="00D209BF" w:rsidP="00D209BF">
      <w:pPr>
        <w:widowControl w:val="0"/>
        <w:autoSpaceDE w:val="0"/>
        <w:autoSpaceDN w:val="0"/>
        <w:adjustRightInd w:val="0"/>
        <w:spacing w:after="0" w:line="240" w:lineRule="auto"/>
        <w:jc w:val="both"/>
        <w:rPr>
          <w:rFonts w:ascii="Georgia" w:hAnsi="Georgia" w:cs="Georgia"/>
          <w:color w:val="262626"/>
          <w:sz w:val="26"/>
          <w:szCs w:val="26"/>
        </w:rPr>
      </w:pPr>
      <w:r>
        <w:rPr>
          <w:rFonts w:ascii="Georgia" w:hAnsi="Georgia" w:cs="Georgia"/>
          <w:color w:val="262626"/>
          <w:sz w:val="26"/>
          <w:szCs w:val="26"/>
        </w:rPr>
        <w:t xml:space="preserve">Canadian Women’s Health Network. (2001). Nurturing assistance: Support for parents with disabilities. </w:t>
      </w:r>
      <w:r>
        <w:rPr>
          <w:rFonts w:ascii="Georgia" w:hAnsi="Georgia" w:cs="Georgia"/>
          <w:i/>
          <w:iCs/>
          <w:color w:val="262626"/>
          <w:sz w:val="26"/>
          <w:szCs w:val="26"/>
        </w:rPr>
        <w:t>Women’s health and diversity: Part 2</w:t>
      </w:r>
      <w:r>
        <w:rPr>
          <w:rFonts w:ascii="Georgia" w:hAnsi="Georgia" w:cs="Georgia"/>
          <w:color w:val="262626"/>
          <w:sz w:val="26"/>
          <w:szCs w:val="26"/>
        </w:rPr>
        <w:t xml:space="preserve">, </w:t>
      </w:r>
      <w:r>
        <w:rPr>
          <w:rFonts w:ascii="Georgia" w:hAnsi="Georgia" w:cs="Georgia"/>
          <w:i/>
          <w:iCs/>
          <w:color w:val="262626"/>
          <w:sz w:val="26"/>
          <w:szCs w:val="26"/>
        </w:rPr>
        <w:t>4</w:t>
      </w:r>
      <w:r>
        <w:rPr>
          <w:rFonts w:ascii="Georgia" w:hAnsi="Georgia" w:cs="Georgia"/>
          <w:color w:val="262626"/>
          <w:sz w:val="26"/>
          <w:szCs w:val="26"/>
        </w:rPr>
        <w:t xml:space="preserve">(3). Retrieved from </w:t>
      </w:r>
      <w:hyperlink r:id="rId8" w:history="1">
        <w:r>
          <w:rPr>
            <w:rFonts w:ascii="Georgia" w:hAnsi="Georgia" w:cs="Georgia"/>
            <w:color w:val="0000E9"/>
            <w:sz w:val="26"/>
            <w:szCs w:val="26"/>
            <w:u w:val="single" w:color="0000E9"/>
          </w:rPr>
          <w:t>http://www.cwhn.ca/en/node/39590</w:t>
        </w:r>
      </w:hyperlink>
    </w:p>
    <w:p w:rsidR="00D209BF" w:rsidRPr="00D209BF" w:rsidRDefault="00D209BF" w:rsidP="00D209BF">
      <w:pPr>
        <w:widowControl w:val="0"/>
        <w:autoSpaceDE w:val="0"/>
        <w:autoSpaceDN w:val="0"/>
        <w:adjustRightInd w:val="0"/>
        <w:spacing w:after="0" w:line="240" w:lineRule="auto"/>
        <w:jc w:val="both"/>
        <w:rPr>
          <w:rFonts w:ascii="Georgia" w:hAnsi="Georgia" w:cs="Georgia"/>
          <w:color w:val="262626"/>
          <w:sz w:val="26"/>
          <w:szCs w:val="26"/>
          <w:lang w:val="fr-CA"/>
        </w:rPr>
      </w:pPr>
    </w:p>
    <w:p w:rsidR="00D209BF" w:rsidRDefault="00D209BF" w:rsidP="00D209BF">
      <w:pPr>
        <w:widowControl w:val="0"/>
        <w:autoSpaceDE w:val="0"/>
        <w:autoSpaceDN w:val="0"/>
        <w:adjustRightInd w:val="0"/>
        <w:spacing w:after="0" w:line="240" w:lineRule="auto"/>
        <w:jc w:val="both"/>
        <w:rPr>
          <w:rFonts w:ascii="Georgia" w:hAnsi="Georgia" w:cs="Georgia"/>
          <w:color w:val="262626"/>
          <w:sz w:val="26"/>
          <w:szCs w:val="26"/>
        </w:rPr>
      </w:pPr>
      <w:proofErr w:type="spellStart"/>
      <w:r>
        <w:rPr>
          <w:rFonts w:ascii="Georgia" w:hAnsi="Georgia" w:cs="Georgia"/>
          <w:color w:val="262626"/>
          <w:sz w:val="26"/>
          <w:szCs w:val="26"/>
        </w:rPr>
        <w:t>Malacrida</w:t>
      </w:r>
      <w:proofErr w:type="spellEnd"/>
      <w:r>
        <w:rPr>
          <w:rFonts w:ascii="Georgia" w:hAnsi="Georgia" w:cs="Georgia"/>
          <w:color w:val="262626"/>
          <w:sz w:val="26"/>
          <w:szCs w:val="26"/>
        </w:rPr>
        <w:t xml:space="preserve">, C. (2007). Negotiating the dependency/nurturance tightrope: Dilemmas of motherhood and disability. </w:t>
      </w:r>
      <w:r>
        <w:rPr>
          <w:rFonts w:ascii="Georgia" w:hAnsi="Georgia" w:cs="Georgia"/>
          <w:i/>
          <w:iCs/>
          <w:color w:val="262626"/>
          <w:sz w:val="26"/>
          <w:szCs w:val="26"/>
        </w:rPr>
        <w:t>CRSA/RCSA</w:t>
      </w:r>
      <w:r>
        <w:rPr>
          <w:rFonts w:ascii="Georgia" w:hAnsi="Georgia" w:cs="Georgia"/>
          <w:color w:val="262626"/>
          <w:sz w:val="26"/>
          <w:szCs w:val="26"/>
        </w:rPr>
        <w:t xml:space="preserve">, </w:t>
      </w:r>
      <w:r>
        <w:rPr>
          <w:rFonts w:ascii="Georgia" w:hAnsi="Georgia" w:cs="Georgia"/>
          <w:i/>
          <w:iCs/>
          <w:color w:val="262626"/>
          <w:sz w:val="26"/>
          <w:szCs w:val="26"/>
        </w:rPr>
        <w:t>44</w:t>
      </w:r>
      <w:r>
        <w:rPr>
          <w:rFonts w:ascii="Georgia" w:hAnsi="Georgia" w:cs="Georgia"/>
          <w:color w:val="262626"/>
          <w:sz w:val="26"/>
          <w:szCs w:val="26"/>
        </w:rPr>
        <w:t>(4), 469-493.</w:t>
      </w:r>
    </w:p>
    <w:p w:rsidR="00D209BF" w:rsidRDefault="00D209BF" w:rsidP="00D209BF">
      <w:pPr>
        <w:widowControl w:val="0"/>
        <w:autoSpaceDE w:val="0"/>
        <w:autoSpaceDN w:val="0"/>
        <w:adjustRightInd w:val="0"/>
        <w:spacing w:after="0" w:line="240" w:lineRule="auto"/>
        <w:jc w:val="both"/>
        <w:rPr>
          <w:rFonts w:ascii="Georgia" w:hAnsi="Georgia" w:cs="Georgia"/>
          <w:color w:val="262626"/>
          <w:sz w:val="26"/>
          <w:szCs w:val="26"/>
        </w:rPr>
      </w:pPr>
    </w:p>
    <w:p w:rsidR="00D209BF" w:rsidRDefault="00D209BF" w:rsidP="00D209BF">
      <w:pPr>
        <w:widowControl w:val="0"/>
        <w:autoSpaceDE w:val="0"/>
        <w:autoSpaceDN w:val="0"/>
        <w:adjustRightInd w:val="0"/>
        <w:spacing w:after="0" w:line="240" w:lineRule="auto"/>
        <w:jc w:val="both"/>
        <w:rPr>
          <w:rFonts w:ascii="Georgia" w:hAnsi="Georgia" w:cs="Georgia"/>
          <w:color w:val="262626"/>
          <w:sz w:val="26"/>
          <w:szCs w:val="26"/>
        </w:rPr>
      </w:pPr>
      <w:proofErr w:type="spellStart"/>
      <w:r>
        <w:rPr>
          <w:rFonts w:ascii="Georgia" w:hAnsi="Georgia" w:cs="Georgia"/>
          <w:color w:val="262626"/>
          <w:sz w:val="26"/>
          <w:szCs w:val="26"/>
        </w:rPr>
        <w:t>Malacrida</w:t>
      </w:r>
      <w:proofErr w:type="spellEnd"/>
      <w:r>
        <w:rPr>
          <w:rFonts w:ascii="Georgia" w:hAnsi="Georgia" w:cs="Georgia"/>
          <w:color w:val="262626"/>
          <w:sz w:val="26"/>
          <w:szCs w:val="26"/>
        </w:rPr>
        <w:t xml:space="preserve">, C. (2009a). Gendered ironies in home care: Surveillance, gender struggles and </w:t>
      </w:r>
      <w:proofErr w:type="spellStart"/>
      <w:r>
        <w:rPr>
          <w:rFonts w:ascii="Georgia" w:hAnsi="Georgia" w:cs="Georgia"/>
          <w:color w:val="262626"/>
          <w:sz w:val="26"/>
          <w:szCs w:val="26"/>
        </w:rPr>
        <w:t>infantilisation</w:t>
      </w:r>
      <w:proofErr w:type="spellEnd"/>
      <w:r>
        <w:rPr>
          <w:rFonts w:ascii="Georgia" w:hAnsi="Georgia" w:cs="Georgia"/>
          <w:color w:val="262626"/>
          <w:sz w:val="26"/>
          <w:szCs w:val="26"/>
        </w:rPr>
        <w:t xml:space="preserve">. </w:t>
      </w:r>
      <w:r>
        <w:rPr>
          <w:rFonts w:ascii="Georgia" w:hAnsi="Georgia" w:cs="Georgia"/>
          <w:i/>
          <w:iCs/>
          <w:color w:val="262626"/>
          <w:sz w:val="26"/>
          <w:szCs w:val="26"/>
        </w:rPr>
        <w:t>International Journal of Inclusive Education</w:t>
      </w:r>
      <w:r>
        <w:rPr>
          <w:rFonts w:ascii="Georgia" w:hAnsi="Georgia" w:cs="Georgia"/>
          <w:color w:val="262626"/>
          <w:sz w:val="26"/>
          <w:szCs w:val="26"/>
        </w:rPr>
        <w:t xml:space="preserve">, </w:t>
      </w:r>
      <w:r>
        <w:rPr>
          <w:rFonts w:ascii="Georgia" w:hAnsi="Georgia" w:cs="Georgia"/>
          <w:i/>
          <w:iCs/>
          <w:color w:val="262626"/>
          <w:sz w:val="26"/>
          <w:szCs w:val="26"/>
        </w:rPr>
        <w:t>13</w:t>
      </w:r>
      <w:r>
        <w:rPr>
          <w:rFonts w:ascii="Georgia" w:hAnsi="Georgia" w:cs="Georgia"/>
          <w:color w:val="262626"/>
          <w:sz w:val="26"/>
          <w:szCs w:val="26"/>
        </w:rPr>
        <w:t>(7), 741-752.</w:t>
      </w:r>
    </w:p>
    <w:p w:rsidR="00D209BF" w:rsidRDefault="00D209BF" w:rsidP="00D209BF">
      <w:pPr>
        <w:widowControl w:val="0"/>
        <w:autoSpaceDE w:val="0"/>
        <w:autoSpaceDN w:val="0"/>
        <w:adjustRightInd w:val="0"/>
        <w:spacing w:after="0" w:line="240" w:lineRule="auto"/>
        <w:jc w:val="both"/>
        <w:rPr>
          <w:rFonts w:ascii="Georgia" w:hAnsi="Georgia" w:cs="Georgia"/>
          <w:color w:val="262626"/>
          <w:sz w:val="26"/>
          <w:szCs w:val="26"/>
        </w:rPr>
      </w:pPr>
    </w:p>
    <w:p w:rsidR="00D209BF" w:rsidRDefault="00D209BF" w:rsidP="00D209BF">
      <w:pPr>
        <w:widowControl w:val="0"/>
        <w:autoSpaceDE w:val="0"/>
        <w:autoSpaceDN w:val="0"/>
        <w:adjustRightInd w:val="0"/>
        <w:spacing w:after="0" w:line="240" w:lineRule="auto"/>
        <w:jc w:val="both"/>
        <w:rPr>
          <w:rFonts w:ascii="Georgia" w:hAnsi="Georgia" w:cs="Georgia"/>
          <w:color w:val="262626"/>
          <w:sz w:val="26"/>
          <w:szCs w:val="26"/>
        </w:rPr>
      </w:pPr>
      <w:proofErr w:type="spellStart"/>
      <w:r>
        <w:rPr>
          <w:rFonts w:ascii="Georgia" w:hAnsi="Georgia" w:cs="Georgia"/>
          <w:color w:val="262626"/>
          <w:sz w:val="26"/>
          <w:szCs w:val="26"/>
        </w:rPr>
        <w:t>Prilleltensky</w:t>
      </w:r>
      <w:proofErr w:type="spellEnd"/>
      <w:r>
        <w:rPr>
          <w:rFonts w:ascii="Georgia" w:hAnsi="Georgia" w:cs="Georgia"/>
          <w:color w:val="262626"/>
          <w:sz w:val="26"/>
          <w:szCs w:val="26"/>
        </w:rPr>
        <w:t xml:space="preserve">, O. (2003). A ramp to motherhood: The experiences of mothers with physical disabilities. </w:t>
      </w:r>
      <w:proofErr w:type="gramStart"/>
      <w:r>
        <w:rPr>
          <w:rFonts w:ascii="Georgia" w:hAnsi="Georgia" w:cs="Georgia"/>
          <w:i/>
          <w:iCs/>
          <w:color w:val="262626"/>
          <w:sz w:val="26"/>
          <w:szCs w:val="26"/>
        </w:rPr>
        <w:t>Sexuality and Disability</w:t>
      </w:r>
      <w:r>
        <w:rPr>
          <w:rFonts w:ascii="Georgia" w:hAnsi="Georgia" w:cs="Georgia"/>
          <w:color w:val="262626"/>
          <w:sz w:val="26"/>
          <w:szCs w:val="26"/>
        </w:rPr>
        <w:t xml:space="preserve">, </w:t>
      </w:r>
      <w:r>
        <w:rPr>
          <w:rFonts w:ascii="Georgia" w:hAnsi="Georgia" w:cs="Georgia"/>
          <w:i/>
          <w:iCs/>
          <w:color w:val="262626"/>
          <w:sz w:val="26"/>
          <w:szCs w:val="26"/>
        </w:rPr>
        <w:t>21</w:t>
      </w:r>
      <w:r>
        <w:rPr>
          <w:rFonts w:ascii="Georgia" w:hAnsi="Georgia" w:cs="Georgia"/>
          <w:color w:val="262626"/>
          <w:sz w:val="26"/>
          <w:szCs w:val="26"/>
        </w:rPr>
        <w:t>(1), 21-47.</w:t>
      </w:r>
      <w:proofErr w:type="gramEnd"/>
    </w:p>
    <w:p w:rsidR="004A5950" w:rsidRDefault="004A5950" w:rsidP="00D209BF">
      <w:pPr>
        <w:widowControl w:val="0"/>
        <w:autoSpaceDE w:val="0"/>
        <w:autoSpaceDN w:val="0"/>
        <w:adjustRightInd w:val="0"/>
        <w:spacing w:after="0" w:line="240" w:lineRule="auto"/>
        <w:jc w:val="both"/>
        <w:rPr>
          <w:rFonts w:ascii="Georgia" w:hAnsi="Georgia" w:cs="Georgia"/>
          <w:color w:val="262626"/>
          <w:sz w:val="26"/>
          <w:szCs w:val="26"/>
        </w:rPr>
      </w:pPr>
    </w:p>
    <w:p w:rsidR="004A5950" w:rsidRPr="004A5950" w:rsidRDefault="004A5950" w:rsidP="00D209BF">
      <w:pPr>
        <w:widowControl w:val="0"/>
        <w:autoSpaceDE w:val="0"/>
        <w:autoSpaceDN w:val="0"/>
        <w:adjustRightInd w:val="0"/>
        <w:spacing w:after="0" w:line="240" w:lineRule="auto"/>
        <w:jc w:val="both"/>
        <w:rPr>
          <w:rFonts w:ascii="Georgia" w:hAnsi="Georgia" w:cs="Georgia"/>
          <w:color w:val="262626"/>
          <w:sz w:val="26"/>
          <w:szCs w:val="26"/>
          <w:lang w:val="fr-CA"/>
        </w:rPr>
      </w:pPr>
      <w:r w:rsidRPr="005306DA">
        <w:rPr>
          <w:rFonts w:ascii="Georgia" w:hAnsi="Georgia" w:cs="Georgia"/>
          <w:color w:val="262626"/>
          <w:sz w:val="26"/>
          <w:szCs w:val="26"/>
          <w:lang w:val="fr-CA"/>
        </w:rPr>
        <w:t>Réseau d’Action des Femmes Handicapées du Canada</w:t>
      </w:r>
      <w:r>
        <w:rPr>
          <w:rFonts w:ascii="Georgia" w:hAnsi="Georgia" w:cs="Georgia"/>
          <w:color w:val="262626"/>
          <w:sz w:val="26"/>
          <w:szCs w:val="26"/>
          <w:lang w:val="fr-CA"/>
        </w:rPr>
        <w:t xml:space="preserve"> (2010). Fiche d’information : Femmes en situation de handicap et pauvreté. </w:t>
      </w:r>
      <w:proofErr w:type="spellStart"/>
      <w:r>
        <w:rPr>
          <w:rFonts w:ascii="Georgia" w:hAnsi="Georgia" w:cs="Georgia"/>
          <w:color w:val="262626"/>
          <w:sz w:val="26"/>
          <w:szCs w:val="26"/>
          <w:lang w:val="fr-CA"/>
        </w:rPr>
        <w:t>Retrieved</w:t>
      </w:r>
      <w:proofErr w:type="spellEnd"/>
      <w:r>
        <w:rPr>
          <w:rFonts w:ascii="Georgia" w:hAnsi="Georgia" w:cs="Georgia"/>
          <w:color w:val="262626"/>
          <w:sz w:val="26"/>
          <w:szCs w:val="26"/>
          <w:lang w:val="fr-CA"/>
        </w:rPr>
        <w:t xml:space="preserve"> </w:t>
      </w:r>
      <w:proofErr w:type="spellStart"/>
      <w:r>
        <w:rPr>
          <w:rFonts w:ascii="Georgia" w:hAnsi="Georgia" w:cs="Georgia"/>
          <w:color w:val="262626"/>
          <w:sz w:val="26"/>
          <w:szCs w:val="26"/>
          <w:lang w:val="fr-CA"/>
        </w:rPr>
        <w:t>from</w:t>
      </w:r>
      <w:proofErr w:type="spellEnd"/>
      <w:r>
        <w:rPr>
          <w:rFonts w:ascii="Georgia" w:hAnsi="Georgia" w:cs="Georgia"/>
          <w:color w:val="262626"/>
          <w:sz w:val="26"/>
          <w:szCs w:val="26"/>
          <w:lang w:val="fr-CA"/>
        </w:rPr>
        <w:t xml:space="preserve"> </w:t>
      </w:r>
      <w:hyperlink r:id="rId9" w:history="1">
        <w:r w:rsidRPr="00482A68">
          <w:rPr>
            <w:rStyle w:val="Hyperlink"/>
            <w:rFonts w:ascii="Georgia" w:hAnsi="Georgia" w:cs="Georgia"/>
            <w:sz w:val="26"/>
            <w:szCs w:val="26"/>
            <w:lang w:val="fr-CA"/>
          </w:rPr>
          <w:t>http://www.dawncanada.net/enjeux/enjeux/fiches-dinformation/pauvrete/</w:t>
        </w:r>
      </w:hyperlink>
    </w:p>
    <w:p w:rsidR="00D209BF" w:rsidRDefault="00D209BF" w:rsidP="00D209BF">
      <w:pPr>
        <w:widowControl w:val="0"/>
        <w:autoSpaceDE w:val="0"/>
        <w:autoSpaceDN w:val="0"/>
        <w:adjustRightInd w:val="0"/>
        <w:spacing w:after="0" w:line="240" w:lineRule="auto"/>
        <w:jc w:val="both"/>
        <w:rPr>
          <w:rFonts w:ascii="Georgia" w:hAnsi="Georgia" w:cs="Georgia"/>
          <w:color w:val="262626"/>
          <w:sz w:val="26"/>
          <w:szCs w:val="26"/>
        </w:rPr>
      </w:pPr>
    </w:p>
    <w:p w:rsidR="00D209BF" w:rsidRDefault="00D209BF" w:rsidP="00D209BF">
      <w:pPr>
        <w:widowControl w:val="0"/>
        <w:autoSpaceDE w:val="0"/>
        <w:autoSpaceDN w:val="0"/>
        <w:adjustRightInd w:val="0"/>
        <w:spacing w:after="0" w:line="240" w:lineRule="auto"/>
        <w:jc w:val="both"/>
        <w:rPr>
          <w:rFonts w:ascii="Georgia" w:hAnsi="Georgia" w:cs="Georgia"/>
          <w:color w:val="262626"/>
          <w:sz w:val="26"/>
          <w:szCs w:val="26"/>
        </w:rPr>
      </w:pPr>
      <w:r>
        <w:rPr>
          <w:rFonts w:ascii="Georgia" w:hAnsi="Georgia" w:cs="Georgia"/>
          <w:color w:val="262626"/>
          <w:sz w:val="26"/>
          <w:szCs w:val="26"/>
        </w:rPr>
        <w:t xml:space="preserve">Stienstra, D. (2012). </w:t>
      </w:r>
      <w:r>
        <w:rPr>
          <w:rFonts w:ascii="Georgia" w:hAnsi="Georgia" w:cs="Georgia"/>
          <w:i/>
          <w:iCs/>
          <w:color w:val="262626"/>
          <w:sz w:val="26"/>
          <w:szCs w:val="26"/>
        </w:rPr>
        <w:t>About Canada: Disability Rights</w:t>
      </w:r>
      <w:r>
        <w:rPr>
          <w:rFonts w:ascii="Georgia" w:hAnsi="Georgia" w:cs="Georgia"/>
          <w:color w:val="262626"/>
          <w:sz w:val="26"/>
          <w:szCs w:val="26"/>
        </w:rPr>
        <w:t xml:space="preserve">. Halifax: </w:t>
      </w:r>
      <w:proofErr w:type="spellStart"/>
      <w:r>
        <w:rPr>
          <w:rFonts w:ascii="Georgia" w:hAnsi="Georgia" w:cs="Georgia"/>
          <w:color w:val="262626"/>
          <w:sz w:val="26"/>
          <w:szCs w:val="26"/>
        </w:rPr>
        <w:t>Fernwood</w:t>
      </w:r>
      <w:proofErr w:type="spellEnd"/>
      <w:r>
        <w:rPr>
          <w:rFonts w:ascii="Georgia" w:hAnsi="Georgia" w:cs="Georgia"/>
          <w:color w:val="262626"/>
          <w:sz w:val="26"/>
          <w:szCs w:val="26"/>
        </w:rPr>
        <w:t xml:space="preserve"> Publishing.</w:t>
      </w:r>
    </w:p>
    <w:p w:rsidR="00D209BF" w:rsidRDefault="00D209BF" w:rsidP="00D209BF">
      <w:pPr>
        <w:widowControl w:val="0"/>
        <w:autoSpaceDE w:val="0"/>
        <w:autoSpaceDN w:val="0"/>
        <w:adjustRightInd w:val="0"/>
        <w:spacing w:after="0" w:line="240" w:lineRule="auto"/>
        <w:jc w:val="both"/>
        <w:rPr>
          <w:rFonts w:ascii="Georgia" w:hAnsi="Georgia" w:cs="Georgia"/>
          <w:color w:val="262626"/>
          <w:sz w:val="26"/>
          <w:szCs w:val="26"/>
        </w:rPr>
      </w:pPr>
    </w:p>
    <w:p w:rsidR="00D209BF" w:rsidRDefault="00D209BF" w:rsidP="00D209BF">
      <w:pPr>
        <w:widowControl w:val="0"/>
        <w:autoSpaceDE w:val="0"/>
        <w:autoSpaceDN w:val="0"/>
        <w:adjustRightInd w:val="0"/>
        <w:spacing w:after="0" w:line="240" w:lineRule="auto"/>
        <w:jc w:val="both"/>
        <w:rPr>
          <w:rFonts w:ascii="Georgia" w:hAnsi="Georgia" w:cs="Georgia"/>
          <w:color w:val="262626"/>
          <w:sz w:val="26"/>
          <w:szCs w:val="26"/>
        </w:rPr>
      </w:pPr>
      <w:r>
        <w:rPr>
          <w:rFonts w:ascii="Georgia" w:hAnsi="Georgia" w:cs="Georgia"/>
          <w:color w:val="262626"/>
          <w:sz w:val="26"/>
          <w:szCs w:val="26"/>
        </w:rPr>
        <w:t xml:space="preserve">Thomas, C. (1997). The baby and the bath water: Disabled women and motherhood in social contexts. </w:t>
      </w:r>
      <w:r>
        <w:rPr>
          <w:rFonts w:ascii="Georgia" w:hAnsi="Georgia" w:cs="Georgia"/>
          <w:i/>
          <w:iCs/>
          <w:color w:val="262626"/>
          <w:sz w:val="26"/>
          <w:szCs w:val="26"/>
        </w:rPr>
        <w:t>Sociology of Health &amp; Illness</w:t>
      </w:r>
      <w:r>
        <w:rPr>
          <w:rFonts w:ascii="Georgia" w:hAnsi="Georgia" w:cs="Georgia"/>
          <w:color w:val="262626"/>
          <w:sz w:val="26"/>
          <w:szCs w:val="26"/>
        </w:rPr>
        <w:t xml:space="preserve">, </w:t>
      </w:r>
      <w:r>
        <w:rPr>
          <w:rFonts w:ascii="Georgia" w:hAnsi="Georgia" w:cs="Georgia"/>
          <w:i/>
          <w:iCs/>
          <w:color w:val="262626"/>
          <w:sz w:val="26"/>
          <w:szCs w:val="26"/>
        </w:rPr>
        <w:t>19</w:t>
      </w:r>
      <w:r>
        <w:rPr>
          <w:rFonts w:ascii="Georgia" w:hAnsi="Georgia" w:cs="Georgia"/>
          <w:color w:val="262626"/>
          <w:sz w:val="26"/>
          <w:szCs w:val="26"/>
        </w:rPr>
        <w:t>(5), 622–643.</w:t>
      </w:r>
    </w:p>
    <w:p w:rsidR="00D209BF" w:rsidRDefault="00D209BF" w:rsidP="00D209BF">
      <w:pPr>
        <w:spacing w:after="0" w:line="240" w:lineRule="auto"/>
        <w:jc w:val="both"/>
        <w:rPr>
          <w:rFonts w:ascii="Georgia" w:hAnsi="Georgia" w:cs="Georgia"/>
          <w:color w:val="262626"/>
          <w:sz w:val="26"/>
          <w:szCs w:val="26"/>
        </w:rPr>
      </w:pPr>
    </w:p>
    <w:p w:rsidR="00D209BF" w:rsidRPr="003A517E" w:rsidRDefault="004A5950" w:rsidP="00D209BF">
      <w:pPr>
        <w:tabs>
          <w:tab w:val="left" w:pos="1044"/>
        </w:tabs>
        <w:jc w:val="both"/>
        <w:rPr>
          <w:lang w:val="fr-CA"/>
        </w:rPr>
      </w:pPr>
      <w:hyperlink r:id="rId10" w:history="1">
        <w:r w:rsidR="00D209BF">
          <w:rPr>
            <w:rFonts w:ascii="Georgia" w:hAnsi="Georgia" w:cs="Georgia"/>
            <w:color w:val="420178"/>
            <w:sz w:val="26"/>
            <w:szCs w:val="26"/>
            <w:u w:val="single" w:color="420178"/>
          </w:rPr>
          <w:t>Track, Laura. (2014). Able Mothers: The intersection of parenting, disability and the law. Vancouver: West Coast Women’s Legal Education and Action Fund.</w:t>
        </w:r>
      </w:hyperlink>
    </w:p>
    <w:sectPr w:rsidR="00D209BF" w:rsidRPr="003A51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20" w:rsidRDefault="00690A20" w:rsidP="00730E64">
      <w:pPr>
        <w:spacing w:after="0" w:line="240" w:lineRule="auto"/>
      </w:pPr>
      <w:r>
        <w:separator/>
      </w:r>
    </w:p>
  </w:endnote>
  <w:endnote w:type="continuationSeparator" w:id="0">
    <w:p w:rsidR="00690A20" w:rsidRDefault="00690A20" w:rsidP="0073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egoe U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59031"/>
      <w:docPartObj>
        <w:docPartGallery w:val="Page Numbers (Bottom of Page)"/>
        <w:docPartUnique/>
      </w:docPartObj>
    </w:sdtPr>
    <w:sdtEndPr>
      <w:rPr>
        <w:noProof/>
      </w:rPr>
    </w:sdtEndPr>
    <w:sdtContent>
      <w:p w:rsidR="00A22E13" w:rsidRDefault="00A22E13">
        <w:pPr>
          <w:pStyle w:val="Footer"/>
        </w:pPr>
        <w:r>
          <w:fldChar w:fldCharType="begin"/>
        </w:r>
        <w:r>
          <w:instrText xml:space="preserve"> PAGE   \* MERGEFORMAT </w:instrText>
        </w:r>
        <w:r>
          <w:fldChar w:fldCharType="separate"/>
        </w:r>
        <w:r w:rsidR="004A5950">
          <w:rPr>
            <w:noProof/>
          </w:rPr>
          <w:t>2</w:t>
        </w:r>
        <w:r>
          <w:rPr>
            <w:noProof/>
          </w:rPr>
          <w:fldChar w:fldCharType="end"/>
        </w:r>
      </w:p>
    </w:sdtContent>
  </w:sdt>
  <w:p w:rsidR="00A22E13" w:rsidRDefault="00A22E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20" w:rsidRDefault="00690A20" w:rsidP="00730E64">
      <w:pPr>
        <w:spacing w:after="0" w:line="240" w:lineRule="auto"/>
      </w:pPr>
      <w:r>
        <w:separator/>
      </w:r>
    </w:p>
  </w:footnote>
  <w:footnote w:type="continuationSeparator" w:id="0">
    <w:p w:rsidR="00690A20" w:rsidRDefault="00690A20" w:rsidP="00730E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90" w:rsidRDefault="00E16BA3" w:rsidP="00E16BA3">
    <w:pPr>
      <w:pStyle w:val="Header"/>
      <w:jc w:val="right"/>
    </w:pPr>
    <w:r w:rsidRPr="00965AA3">
      <w:rPr>
        <w:noProof/>
      </w:rPr>
      <w:drawing>
        <wp:inline distT="0" distB="0" distL="0" distR="0" wp14:anchorId="6B48929E" wp14:editId="5A2D9EB9">
          <wp:extent cx="777240" cy="777240"/>
          <wp:effectExtent l="0" t="0" r="3810" b="3810"/>
          <wp:docPr id="1" name="Picture 1" descr="C:\Users\Tan\Documents\30 ANS\Logo-30-an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Documents\30 ANS\Logo-30-ans-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77240"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75AAF"/>
    <w:multiLevelType w:val="multilevel"/>
    <w:tmpl w:val="779E7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03F90"/>
    <w:multiLevelType w:val="hybridMultilevel"/>
    <w:tmpl w:val="62D03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7BA62CC"/>
    <w:multiLevelType w:val="hybridMultilevel"/>
    <w:tmpl w:val="8F92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5A"/>
    <w:rsid w:val="00005D8F"/>
    <w:rsid w:val="00060B3F"/>
    <w:rsid w:val="00105336"/>
    <w:rsid w:val="00125C12"/>
    <w:rsid w:val="0015332D"/>
    <w:rsid w:val="00157E68"/>
    <w:rsid w:val="001E18E6"/>
    <w:rsid w:val="001E361D"/>
    <w:rsid w:val="001E401F"/>
    <w:rsid w:val="001F3FBD"/>
    <w:rsid w:val="00244EC9"/>
    <w:rsid w:val="00280B91"/>
    <w:rsid w:val="002A5573"/>
    <w:rsid w:val="002C4199"/>
    <w:rsid w:val="002E5EDD"/>
    <w:rsid w:val="00323426"/>
    <w:rsid w:val="00325627"/>
    <w:rsid w:val="00340040"/>
    <w:rsid w:val="00375591"/>
    <w:rsid w:val="00380FEF"/>
    <w:rsid w:val="003A517E"/>
    <w:rsid w:val="003D1195"/>
    <w:rsid w:val="00442B5C"/>
    <w:rsid w:val="004A5950"/>
    <w:rsid w:val="004A730B"/>
    <w:rsid w:val="00504C53"/>
    <w:rsid w:val="0051461D"/>
    <w:rsid w:val="005306DA"/>
    <w:rsid w:val="0054613F"/>
    <w:rsid w:val="00564200"/>
    <w:rsid w:val="00566819"/>
    <w:rsid w:val="00584A19"/>
    <w:rsid w:val="00586F90"/>
    <w:rsid w:val="005A425A"/>
    <w:rsid w:val="005B3D49"/>
    <w:rsid w:val="005D42CE"/>
    <w:rsid w:val="005E7913"/>
    <w:rsid w:val="00607FAB"/>
    <w:rsid w:val="00630300"/>
    <w:rsid w:val="006677F5"/>
    <w:rsid w:val="006747E2"/>
    <w:rsid w:val="00684F6D"/>
    <w:rsid w:val="006904AB"/>
    <w:rsid w:val="00690A20"/>
    <w:rsid w:val="006B2C31"/>
    <w:rsid w:val="006B494E"/>
    <w:rsid w:val="006C7BEE"/>
    <w:rsid w:val="006D32EF"/>
    <w:rsid w:val="00717FAE"/>
    <w:rsid w:val="00730E64"/>
    <w:rsid w:val="0074080D"/>
    <w:rsid w:val="00761481"/>
    <w:rsid w:val="007B2DE5"/>
    <w:rsid w:val="007F763F"/>
    <w:rsid w:val="00824170"/>
    <w:rsid w:val="0082787D"/>
    <w:rsid w:val="0086072C"/>
    <w:rsid w:val="008743AB"/>
    <w:rsid w:val="00885CE5"/>
    <w:rsid w:val="00894D56"/>
    <w:rsid w:val="008B4B3C"/>
    <w:rsid w:val="0095315C"/>
    <w:rsid w:val="00966E32"/>
    <w:rsid w:val="009A4D1D"/>
    <w:rsid w:val="009D3188"/>
    <w:rsid w:val="00A22E13"/>
    <w:rsid w:val="00A23039"/>
    <w:rsid w:val="00A361C6"/>
    <w:rsid w:val="00A41437"/>
    <w:rsid w:val="00A67C1B"/>
    <w:rsid w:val="00A90466"/>
    <w:rsid w:val="00AD6E46"/>
    <w:rsid w:val="00B050C3"/>
    <w:rsid w:val="00B166E7"/>
    <w:rsid w:val="00B33B1D"/>
    <w:rsid w:val="00B44577"/>
    <w:rsid w:val="00B8490B"/>
    <w:rsid w:val="00BD4B42"/>
    <w:rsid w:val="00C56674"/>
    <w:rsid w:val="00CC09BD"/>
    <w:rsid w:val="00CC6A03"/>
    <w:rsid w:val="00D209BF"/>
    <w:rsid w:val="00D210F1"/>
    <w:rsid w:val="00D566E5"/>
    <w:rsid w:val="00D75DED"/>
    <w:rsid w:val="00DE1B0B"/>
    <w:rsid w:val="00E16BA3"/>
    <w:rsid w:val="00E32BA4"/>
    <w:rsid w:val="00F40E80"/>
    <w:rsid w:val="00F57F0A"/>
    <w:rsid w:val="00F63855"/>
    <w:rsid w:val="00F67BED"/>
    <w:rsid w:val="00F95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4"/>
  </w:style>
  <w:style w:type="paragraph" w:styleId="Footer">
    <w:name w:val="footer"/>
    <w:basedOn w:val="Normal"/>
    <w:link w:val="FooterChar"/>
    <w:uiPriority w:val="99"/>
    <w:unhideWhenUsed/>
    <w:rsid w:val="00730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4"/>
  </w:style>
  <w:style w:type="paragraph" w:styleId="NormalWeb">
    <w:name w:val="Normal (Web)"/>
    <w:basedOn w:val="Normal"/>
    <w:uiPriority w:val="99"/>
    <w:semiHidden/>
    <w:unhideWhenUsed/>
    <w:rsid w:val="00A414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437"/>
    <w:pPr>
      <w:ind w:left="720"/>
      <w:contextualSpacing/>
    </w:pPr>
  </w:style>
  <w:style w:type="character" w:styleId="Hyperlink">
    <w:name w:val="Hyperlink"/>
    <w:uiPriority w:val="99"/>
    <w:unhideWhenUsed/>
    <w:rsid w:val="006904AB"/>
    <w:rPr>
      <w:color w:val="0000FF"/>
      <w:u w:val="single"/>
    </w:rPr>
  </w:style>
  <w:style w:type="paragraph" w:customStyle="1" w:styleId="BasicParagraph">
    <w:name w:val="[Basic Paragraph]"/>
    <w:basedOn w:val="Normal"/>
    <w:uiPriority w:val="99"/>
    <w:rsid w:val="006904AB"/>
    <w:pPr>
      <w:widowControl w:val="0"/>
      <w:autoSpaceDE w:val="0"/>
      <w:autoSpaceDN w:val="0"/>
      <w:adjustRightInd w:val="0"/>
      <w:spacing w:after="0" w:line="288" w:lineRule="auto"/>
    </w:pPr>
    <w:rPr>
      <w:rFonts w:ascii="Times-Roman" w:eastAsia="MS Mincho" w:hAnsi="Times-Roman" w:cs="Times-Roman"/>
      <w:color w:val="000000"/>
      <w:sz w:val="24"/>
      <w:szCs w:val="24"/>
    </w:rPr>
  </w:style>
  <w:style w:type="paragraph" w:styleId="BalloonText">
    <w:name w:val="Balloon Text"/>
    <w:basedOn w:val="Normal"/>
    <w:link w:val="BalloonTextChar"/>
    <w:uiPriority w:val="99"/>
    <w:semiHidden/>
    <w:unhideWhenUsed/>
    <w:rsid w:val="00C56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7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4"/>
  </w:style>
  <w:style w:type="paragraph" w:styleId="Footer">
    <w:name w:val="footer"/>
    <w:basedOn w:val="Normal"/>
    <w:link w:val="FooterChar"/>
    <w:uiPriority w:val="99"/>
    <w:unhideWhenUsed/>
    <w:rsid w:val="00730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4"/>
  </w:style>
  <w:style w:type="paragraph" w:styleId="NormalWeb">
    <w:name w:val="Normal (Web)"/>
    <w:basedOn w:val="Normal"/>
    <w:uiPriority w:val="99"/>
    <w:semiHidden/>
    <w:unhideWhenUsed/>
    <w:rsid w:val="00A414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437"/>
    <w:pPr>
      <w:ind w:left="720"/>
      <w:contextualSpacing/>
    </w:pPr>
  </w:style>
  <w:style w:type="character" w:styleId="Hyperlink">
    <w:name w:val="Hyperlink"/>
    <w:uiPriority w:val="99"/>
    <w:unhideWhenUsed/>
    <w:rsid w:val="006904AB"/>
    <w:rPr>
      <w:color w:val="0000FF"/>
      <w:u w:val="single"/>
    </w:rPr>
  </w:style>
  <w:style w:type="paragraph" w:customStyle="1" w:styleId="BasicParagraph">
    <w:name w:val="[Basic Paragraph]"/>
    <w:basedOn w:val="Normal"/>
    <w:uiPriority w:val="99"/>
    <w:rsid w:val="006904AB"/>
    <w:pPr>
      <w:widowControl w:val="0"/>
      <w:autoSpaceDE w:val="0"/>
      <w:autoSpaceDN w:val="0"/>
      <w:adjustRightInd w:val="0"/>
      <w:spacing w:after="0" w:line="288" w:lineRule="auto"/>
    </w:pPr>
    <w:rPr>
      <w:rFonts w:ascii="Times-Roman" w:eastAsia="MS Mincho" w:hAnsi="Times-Roman" w:cs="Times-Roman"/>
      <w:color w:val="000000"/>
      <w:sz w:val="24"/>
      <w:szCs w:val="24"/>
    </w:rPr>
  </w:style>
  <w:style w:type="paragraph" w:styleId="BalloonText">
    <w:name w:val="Balloon Text"/>
    <w:basedOn w:val="Normal"/>
    <w:link w:val="BalloonTextChar"/>
    <w:uiPriority w:val="99"/>
    <w:semiHidden/>
    <w:unhideWhenUsed/>
    <w:rsid w:val="00C56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5997">
      <w:bodyDiv w:val="1"/>
      <w:marLeft w:val="0"/>
      <w:marRight w:val="0"/>
      <w:marTop w:val="0"/>
      <w:marBottom w:val="0"/>
      <w:divBdr>
        <w:top w:val="none" w:sz="0" w:space="0" w:color="auto"/>
        <w:left w:val="none" w:sz="0" w:space="0" w:color="auto"/>
        <w:bottom w:val="none" w:sz="0" w:space="0" w:color="auto"/>
        <w:right w:val="none" w:sz="0" w:space="0" w:color="auto"/>
      </w:divBdr>
    </w:div>
    <w:div w:id="18032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whn.ca/en/node/39590" TargetMode="External"/><Relationship Id="rId9" Type="http://schemas.openxmlformats.org/officeDocument/2006/relationships/hyperlink" Target="http://www.dawncanada.net/enjeux/enjeux/fiches-dinformation/pauvrete/" TargetMode="External"/><Relationship Id="rId10" Type="http://schemas.openxmlformats.org/officeDocument/2006/relationships/hyperlink" Target="http://www.westcoastleaf.org/wp-content/uploads/2014/12/2014-REPORT-Able-Moth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Sandhya Singh</cp:lastModifiedBy>
  <cp:revision>2</cp:revision>
  <cp:lastPrinted>2014-12-15T16:27:00Z</cp:lastPrinted>
  <dcterms:created xsi:type="dcterms:W3CDTF">2015-05-08T18:25:00Z</dcterms:created>
  <dcterms:modified xsi:type="dcterms:W3CDTF">2015-05-08T18:25:00Z</dcterms:modified>
</cp:coreProperties>
</file>